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3" w:rsidRPr="00947B7C" w:rsidRDefault="00731796" w:rsidP="006A5B2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3pt;margin-top:-15.8pt;width:302.15pt;height:108.65pt;z-index:251658240;mso-width-relative:margin;mso-height-relative:margin" strokecolor="white">
            <v:textbox>
              <w:txbxContent>
                <w:p w:rsidR="00134298" w:rsidRPr="00134298" w:rsidRDefault="00134298" w:rsidP="007E5283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</w:p>
                <w:p w:rsidR="00134298" w:rsidRDefault="00134298" w:rsidP="007E5283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lâp</w:t>
                  </w:r>
                  <w:proofErr w:type="spellEnd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do – </w:t>
                  </w:r>
                  <w:proofErr w:type="spellStart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  <w:p w:rsidR="00F7524F" w:rsidRDefault="00F7524F" w:rsidP="00F7524F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4298" w:rsidRPr="00134298" w:rsidRDefault="00F7524F" w:rsidP="00F7524F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>Hà</w:t>
                  </w:r>
                  <w:proofErr w:type="spellEnd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80267D">
                    <w:rPr>
                      <w:rFonts w:ascii="Times New Roman" w:hAnsi="Times New Roman"/>
                      <w:sz w:val="24"/>
                      <w:szCs w:val="24"/>
                    </w:rPr>
                    <w:t>ộ</w:t>
                  </w:r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>ngày</w:t>
                  </w:r>
                  <w:proofErr w:type="spellEnd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549F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4236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>tháng</w:t>
                  </w:r>
                  <w:proofErr w:type="spellEnd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42364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>năm</w:t>
                  </w:r>
                  <w:proofErr w:type="spellEnd"/>
                  <w:r w:rsidR="00134298" w:rsidRPr="00134298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D770F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34298" w:rsidRPr="00134298" w:rsidRDefault="00134298" w:rsidP="0013429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026" type="#_x0000_t202" style="position:absolute;left:0;text-align:left;margin-left:-15.8pt;margin-top:-16.7pt;width:221.1pt;height:82.55pt;z-index:251657216;mso-width-relative:margin;mso-height-relative:margin" strokecolor="white">
            <v:textbox>
              <w:txbxContent>
                <w:p w:rsidR="00134298" w:rsidRPr="00134298" w:rsidRDefault="00134298" w:rsidP="007E5283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QUỸ ĐẦU TƯ CỔ PHIẾU</w:t>
                  </w:r>
                </w:p>
                <w:p w:rsidR="00134298" w:rsidRPr="00134298" w:rsidRDefault="00134298" w:rsidP="007E5283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2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NĂNG ĐỘNG BẢO VIỆT (BVFED)</w:t>
                  </w:r>
                </w:p>
                <w:p w:rsidR="00134298" w:rsidRPr="00134298" w:rsidRDefault="00134298" w:rsidP="00D268CE">
                  <w:pPr>
                    <w:spacing w:before="120" w:after="12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34298">
                    <w:rPr>
                      <w:rFonts w:ascii="Times New Roman" w:hAnsi="Times New Roman"/>
                    </w:rPr>
                    <w:t>Số</w:t>
                  </w:r>
                  <w:proofErr w:type="spellEnd"/>
                  <w:r w:rsidRPr="00134298">
                    <w:rPr>
                      <w:rFonts w:ascii="Times New Roman" w:hAnsi="Times New Roman"/>
                    </w:rPr>
                    <w:t xml:space="preserve">: </w:t>
                  </w:r>
                  <w:r w:rsidR="00D770FE">
                    <w:rPr>
                      <w:rFonts w:ascii="Times New Roman" w:hAnsi="Times New Roman"/>
                    </w:rPr>
                    <w:t>………..</w:t>
                  </w:r>
                  <w:r w:rsidR="00D268CE">
                    <w:rPr>
                      <w:rFonts w:ascii="Times New Roman" w:hAnsi="Times New Roman"/>
                    </w:rPr>
                    <w:t>/</w:t>
                  </w:r>
                  <w:r w:rsidR="00D83A3B">
                    <w:rPr>
                      <w:rFonts w:ascii="Times New Roman" w:hAnsi="Times New Roman"/>
                    </w:rPr>
                    <w:t>NQ</w:t>
                  </w:r>
                  <w:r w:rsidR="00DC3B18">
                    <w:rPr>
                      <w:rFonts w:ascii="Times New Roman" w:hAnsi="Times New Roman"/>
                    </w:rPr>
                    <w:t>-</w:t>
                  </w:r>
                  <w:r w:rsidR="00D770FE">
                    <w:rPr>
                      <w:rFonts w:ascii="Times New Roman" w:hAnsi="Times New Roman"/>
                    </w:rPr>
                    <w:t>BVFED-BVF/2016</w:t>
                  </w:r>
                </w:p>
              </w:txbxContent>
            </v:textbox>
          </v:shape>
        </w:pict>
      </w:r>
    </w:p>
    <w:p w:rsidR="007E5283" w:rsidRPr="00947B7C" w:rsidRDefault="007E5283" w:rsidP="006A5B2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5283" w:rsidRPr="00947B7C" w:rsidRDefault="007E5283" w:rsidP="006A5B2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5283" w:rsidRPr="00947B7C" w:rsidRDefault="007E5283" w:rsidP="00947B7C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4298" w:rsidRPr="00947B7C" w:rsidRDefault="00D83A3B" w:rsidP="00947B7C">
      <w:pPr>
        <w:tabs>
          <w:tab w:val="left" w:pos="3161"/>
        </w:tabs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NGHỊ QUYẾT</w:t>
      </w:r>
    </w:p>
    <w:p w:rsidR="007E5283" w:rsidRPr="00947B7C" w:rsidRDefault="007E5283" w:rsidP="00947B7C">
      <w:pPr>
        <w:tabs>
          <w:tab w:val="left" w:pos="3161"/>
        </w:tabs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B7C">
        <w:rPr>
          <w:rFonts w:ascii="Times New Roman" w:hAnsi="Times New Roman"/>
          <w:b/>
          <w:sz w:val="28"/>
          <w:szCs w:val="28"/>
        </w:rPr>
        <w:t xml:space="preserve">ĐẠI HỘI NHÀ ĐẦU TƯ </w:t>
      </w:r>
      <w:r w:rsidR="00D770FE">
        <w:rPr>
          <w:rFonts w:ascii="Times New Roman" w:hAnsi="Times New Roman"/>
          <w:b/>
          <w:sz w:val="28"/>
          <w:szCs w:val="28"/>
        </w:rPr>
        <w:t xml:space="preserve">THƯỜNG NIÊN </w:t>
      </w:r>
      <w:r w:rsidR="0097466C">
        <w:rPr>
          <w:rFonts w:ascii="Times New Roman" w:hAnsi="Times New Roman"/>
          <w:b/>
          <w:sz w:val="28"/>
          <w:szCs w:val="28"/>
        </w:rPr>
        <w:t xml:space="preserve">NĂM </w:t>
      </w:r>
      <w:r w:rsidR="00D770FE">
        <w:rPr>
          <w:rFonts w:ascii="Times New Roman" w:hAnsi="Times New Roman"/>
          <w:b/>
          <w:sz w:val="28"/>
          <w:szCs w:val="28"/>
        </w:rPr>
        <w:t>2016</w:t>
      </w:r>
    </w:p>
    <w:p w:rsidR="007E5283" w:rsidRPr="00947B7C" w:rsidRDefault="007E5283" w:rsidP="00947B7C">
      <w:pPr>
        <w:tabs>
          <w:tab w:val="left" w:pos="3161"/>
        </w:tabs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B7C">
        <w:rPr>
          <w:rFonts w:ascii="Times New Roman" w:hAnsi="Times New Roman"/>
          <w:b/>
          <w:sz w:val="28"/>
          <w:szCs w:val="28"/>
        </w:rPr>
        <w:t>QUỸ ĐẦU TƯ CỔ PHIẾU NĂNG ĐỘNG BẢO VIỆT (BVFED)</w:t>
      </w:r>
    </w:p>
    <w:p w:rsidR="007E5283" w:rsidRPr="00D83A3B" w:rsidRDefault="00D83A3B" w:rsidP="00442364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A3B">
        <w:rPr>
          <w:rFonts w:ascii="Times New Roman" w:hAnsi="Times New Roman"/>
          <w:sz w:val="24"/>
          <w:szCs w:val="24"/>
        </w:rPr>
        <w:t>Căn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cứ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Luật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Chứng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khoán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số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70/2006/QH11 </w:t>
      </w:r>
      <w:proofErr w:type="spellStart"/>
      <w:r w:rsidRPr="00D83A3B">
        <w:rPr>
          <w:rFonts w:ascii="Times New Roman" w:hAnsi="Times New Roman"/>
          <w:sz w:val="24"/>
          <w:szCs w:val="24"/>
        </w:rPr>
        <w:t>được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Quốc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hội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thông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D83A3B">
        <w:rPr>
          <w:rFonts w:ascii="Times New Roman" w:hAnsi="Times New Roman"/>
          <w:sz w:val="24"/>
          <w:szCs w:val="24"/>
        </w:rPr>
        <w:t>ngày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29/06/2007 </w:t>
      </w:r>
      <w:proofErr w:type="spellStart"/>
      <w:r w:rsidRPr="00D83A3B">
        <w:rPr>
          <w:rFonts w:ascii="Times New Roman" w:hAnsi="Times New Roman"/>
          <w:sz w:val="24"/>
          <w:szCs w:val="24"/>
        </w:rPr>
        <w:t>và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chỉnh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sửa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A3B">
        <w:rPr>
          <w:rFonts w:ascii="Times New Roman" w:hAnsi="Times New Roman"/>
          <w:sz w:val="24"/>
          <w:szCs w:val="24"/>
        </w:rPr>
        <w:t>bổ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sung </w:t>
      </w:r>
      <w:proofErr w:type="spellStart"/>
      <w:r w:rsidRPr="00D83A3B">
        <w:rPr>
          <w:rFonts w:ascii="Times New Roman" w:hAnsi="Times New Roman"/>
          <w:sz w:val="24"/>
          <w:szCs w:val="24"/>
        </w:rPr>
        <w:t>ngày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24/11/2010;</w:t>
      </w:r>
    </w:p>
    <w:p w:rsidR="00D83A3B" w:rsidRPr="00D83A3B" w:rsidRDefault="00D83A3B" w:rsidP="00442364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A3B">
        <w:rPr>
          <w:rFonts w:ascii="Times New Roman" w:hAnsi="Times New Roman"/>
          <w:sz w:val="24"/>
          <w:szCs w:val="24"/>
        </w:rPr>
        <w:t>Căn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cứ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Thông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tư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số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183/2011/TT-BTC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ngày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16/12/2011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hướng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dẫn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về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việc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thành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lập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và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quản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lý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quỹ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mở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và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Thông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tư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số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15/2016/TT-BTC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ngày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20/01/2016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sửa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đổi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bổ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sung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một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số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điều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của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Thông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tư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B7" w:rsidRPr="00905DB7">
        <w:rPr>
          <w:rFonts w:ascii="Times New Roman" w:hAnsi="Times New Roman"/>
          <w:sz w:val="24"/>
          <w:szCs w:val="24"/>
        </w:rPr>
        <w:t>số</w:t>
      </w:r>
      <w:proofErr w:type="spellEnd"/>
      <w:r w:rsidR="00905DB7" w:rsidRPr="00905DB7">
        <w:rPr>
          <w:rFonts w:ascii="Times New Roman" w:hAnsi="Times New Roman"/>
          <w:sz w:val="24"/>
          <w:szCs w:val="24"/>
        </w:rPr>
        <w:t xml:space="preserve"> 183/2011/TT-BTC</w:t>
      </w:r>
      <w:r w:rsidRPr="00D83A3B">
        <w:rPr>
          <w:rFonts w:ascii="Times New Roman" w:hAnsi="Times New Roman"/>
          <w:sz w:val="24"/>
          <w:szCs w:val="24"/>
        </w:rPr>
        <w:t>;</w:t>
      </w:r>
    </w:p>
    <w:p w:rsidR="00D83A3B" w:rsidRPr="00D83A3B" w:rsidRDefault="00D83A3B" w:rsidP="00442364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A3B">
        <w:rPr>
          <w:rFonts w:ascii="Times New Roman" w:hAnsi="Times New Roman"/>
          <w:sz w:val="24"/>
          <w:szCs w:val="24"/>
        </w:rPr>
        <w:t>Căn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cứ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Giấy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chứng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nhận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thành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lập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Quỹ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mở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của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Quỹ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đầu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tư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cổ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phiếu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năng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động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Bảo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Việt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(BVFED) </w:t>
      </w:r>
      <w:proofErr w:type="spellStart"/>
      <w:r w:rsidRPr="00D83A3B">
        <w:rPr>
          <w:rFonts w:ascii="Times New Roman" w:hAnsi="Times New Roman"/>
          <w:sz w:val="24"/>
          <w:szCs w:val="24"/>
        </w:rPr>
        <w:t>số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08/GCN-UBCK do UBCKNN </w:t>
      </w:r>
      <w:proofErr w:type="spellStart"/>
      <w:r w:rsidRPr="00D83A3B">
        <w:rPr>
          <w:rFonts w:ascii="Times New Roman" w:hAnsi="Times New Roman"/>
          <w:sz w:val="24"/>
          <w:szCs w:val="24"/>
        </w:rPr>
        <w:t>cấp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ngày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08/01/2014;</w:t>
      </w:r>
    </w:p>
    <w:p w:rsidR="00D83A3B" w:rsidRDefault="00D83A3B" w:rsidP="00442364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A3B">
        <w:rPr>
          <w:rFonts w:ascii="Times New Roman" w:hAnsi="Times New Roman"/>
          <w:sz w:val="24"/>
          <w:szCs w:val="24"/>
        </w:rPr>
        <w:t>Căn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cứ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Biên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bản</w:t>
      </w:r>
      <w:proofErr w:type="spellEnd"/>
      <w:r w:rsidR="00974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6C">
        <w:rPr>
          <w:rFonts w:ascii="Times New Roman" w:hAnsi="Times New Roman"/>
          <w:sz w:val="24"/>
          <w:szCs w:val="24"/>
        </w:rPr>
        <w:t>Đ</w:t>
      </w:r>
      <w:r w:rsidRPr="00D83A3B">
        <w:rPr>
          <w:rFonts w:ascii="Times New Roman" w:hAnsi="Times New Roman"/>
          <w:sz w:val="24"/>
          <w:szCs w:val="24"/>
        </w:rPr>
        <w:t>ại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hộ</w:t>
      </w:r>
      <w:r w:rsidR="0097466C">
        <w:rPr>
          <w:rFonts w:ascii="Times New Roman" w:hAnsi="Times New Roman"/>
          <w:sz w:val="24"/>
          <w:szCs w:val="24"/>
        </w:rPr>
        <w:t>i</w:t>
      </w:r>
      <w:proofErr w:type="spellEnd"/>
      <w:r w:rsidR="00974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6C">
        <w:rPr>
          <w:rFonts w:ascii="Times New Roman" w:hAnsi="Times New Roman"/>
          <w:sz w:val="24"/>
          <w:szCs w:val="24"/>
        </w:rPr>
        <w:t>N</w:t>
      </w:r>
      <w:r w:rsidRPr="00D83A3B">
        <w:rPr>
          <w:rFonts w:ascii="Times New Roman" w:hAnsi="Times New Roman"/>
          <w:sz w:val="24"/>
          <w:szCs w:val="24"/>
        </w:rPr>
        <w:t>hà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đầu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tư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6C">
        <w:rPr>
          <w:rFonts w:ascii="Times New Roman" w:hAnsi="Times New Roman"/>
          <w:sz w:val="24"/>
          <w:szCs w:val="24"/>
        </w:rPr>
        <w:t>bất</w:t>
      </w:r>
      <w:proofErr w:type="spellEnd"/>
      <w:r w:rsidR="00974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6C">
        <w:rPr>
          <w:rFonts w:ascii="Times New Roman" w:hAnsi="Times New Roman"/>
          <w:sz w:val="24"/>
          <w:szCs w:val="24"/>
        </w:rPr>
        <w:t>thường</w:t>
      </w:r>
      <w:proofErr w:type="spellEnd"/>
      <w:r w:rsidR="00974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66C">
        <w:rPr>
          <w:rFonts w:ascii="Times New Roman" w:hAnsi="Times New Roman"/>
          <w:sz w:val="24"/>
          <w:szCs w:val="24"/>
        </w:rPr>
        <w:t>năm</w:t>
      </w:r>
      <w:proofErr w:type="spellEnd"/>
      <w:r w:rsidR="0097466C">
        <w:rPr>
          <w:rFonts w:ascii="Times New Roman" w:hAnsi="Times New Roman"/>
          <w:sz w:val="24"/>
          <w:szCs w:val="24"/>
        </w:rPr>
        <w:t xml:space="preserve"> </w:t>
      </w:r>
      <w:r w:rsidRPr="00D83A3B">
        <w:rPr>
          <w:rFonts w:ascii="Times New Roman" w:hAnsi="Times New Roman"/>
          <w:sz w:val="24"/>
          <w:szCs w:val="24"/>
        </w:rPr>
        <w:t xml:space="preserve">2014 </w:t>
      </w:r>
      <w:proofErr w:type="spellStart"/>
      <w:r w:rsidRPr="00D83A3B">
        <w:rPr>
          <w:rFonts w:ascii="Times New Roman" w:hAnsi="Times New Roman"/>
          <w:sz w:val="24"/>
          <w:szCs w:val="24"/>
        </w:rPr>
        <w:t>Quỹ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đầu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tư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cổ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phiếu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năng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động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Bảo</w:t>
      </w:r>
      <w:proofErr w:type="spellEnd"/>
      <w:r w:rsidRPr="00D8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A3B">
        <w:rPr>
          <w:rFonts w:ascii="Times New Roman" w:hAnsi="Times New Roman"/>
          <w:sz w:val="24"/>
          <w:szCs w:val="24"/>
        </w:rPr>
        <w:t>Việ</w:t>
      </w:r>
      <w:r w:rsidR="000549FD">
        <w:rPr>
          <w:rFonts w:ascii="Times New Roman" w:hAnsi="Times New Roman"/>
          <w:sz w:val="24"/>
          <w:szCs w:val="24"/>
        </w:rPr>
        <w:t>t</w:t>
      </w:r>
      <w:proofErr w:type="spellEnd"/>
      <w:r w:rsidR="0005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9FD">
        <w:rPr>
          <w:rFonts w:ascii="Times New Roman" w:hAnsi="Times New Roman"/>
          <w:sz w:val="24"/>
          <w:szCs w:val="24"/>
        </w:rPr>
        <w:t>ngày</w:t>
      </w:r>
      <w:proofErr w:type="spellEnd"/>
      <w:r w:rsidR="000549FD">
        <w:rPr>
          <w:rFonts w:ascii="Times New Roman" w:hAnsi="Times New Roman"/>
          <w:sz w:val="24"/>
          <w:szCs w:val="24"/>
        </w:rPr>
        <w:t xml:space="preserve"> 29/10</w:t>
      </w:r>
      <w:r w:rsidRPr="00D83A3B">
        <w:rPr>
          <w:rFonts w:ascii="Times New Roman" w:hAnsi="Times New Roman"/>
          <w:sz w:val="24"/>
          <w:szCs w:val="24"/>
        </w:rPr>
        <w:t>/2014.</w:t>
      </w:r>
    </w:p>
    <w:p w:rsidR="00B11EDB" w:rsidRDefault="00B11EDB" w:rsidP="00B11EDB">
      <w:pPr>
        <w:pStyle w:val="ListParagraph"/>
        <w:tabs>
          <w:tab w:val="left" w:pos="3161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3A3B" w:rsidRPr="00D83A3B" w:rsidRDefault="00D83A3B" w:rsidP="00D83A3B">
      <w:pPr>
        <w:pStyle w:val="ListParagraph"/>
        <w:tabs>
          <w:tab w:val="left" w:pos="3161"/>
        </w:tabs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A3B">
        <w:rPr>
          <w:rFonts w:ascii="Times New Roman" w:hAnsi="Times New Roman"/>
          <w:b/>
          <w:sz w:val="24"/>
          <w:szCs w:val="24"/>
        </w:rPr>
        <w:t>QUYẾT NGHỊ</w:t>
      </w:r>
    </w:p>
    <w:p w:rsidR="0044171E" w:rsidRDefault="00D83A3B" w:rsidP="006A5B2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/>
          <w:sz w:val="24"/>
          <w:szCs w:val="24"/>
        </w:rPr>
        <w:t>nghị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B0136" w:rsidRPr="00D770FE" w:rsidRDefault="00EB0136" w:rsidP="00EB01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89E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B748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B7489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Thông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Báo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cáo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tài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chính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đã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kiểm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toán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năm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của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 w:rsidRPr="00D770FE">
        <w:rPr>
          <w:rFonts w:ascii="Times New Roman" w:hAnsi="Times New Roman"/>
          <w:sz w:val="24"/>
          <w:szCs w:val="24"/>
        </w:rPr>
        <w:t>Quỹ</w:t>
      </w:r>
      <w:proofErr w:type="spellEnd"/>
      <w:r w:rsidR="00D770FE" w:rsidRPr="00D770FE">
        <w:rPr>
          <w:rFonts w:ascii="Times New Roman" w:hAnsi="Times New Roman"/>
          <w:sz w:val="24"/>
          <w:szCs w:val="24"/>
        </w:rPr>
        <w:t xml:space="preserve"> BVFED</w:t>
      </w:r>
    </w:p>
    <w:p w:rsidR="00EB0136" w:rsidRDefault="00EB0136" w:rsidP="00EB01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89E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B748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B7489E">
        <w:rPr>
          <w:rFonts w:ascii="Times New Roman" w:hAnsi="Times New Roman"/>
          <w:b/>
          <w:sz w:val="24"/>
          <w:szCs w:val="24"/>
        </w:rPr>
        <w:t xml:space="preserve">: </w:t>
      </w:r>
      <w:r w:rsidR="00D77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Thông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="00D770FE">
        <w:rPr>
          <w:rFonts w:ascii="Times New Roman" w:hAnsi="Times New Roman"/>
          <w:sz w:val="24"/>
          <w:szCs w:val="24"/>
        </w:rPr>
        <w:t>việc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không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thực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hiện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phân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phối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lợi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nhuận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năm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="00D770FE">
        <w:rPr>
          <w:rFonts w:ascii="Times New Roman" w:hAnsi="Times New Roman"/>
          <w:sz w:val="24"/>
          <w:szCs w:val="24"/>
        </w:rPr>
        <w:t>cho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Nhà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đâu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tư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Quỹ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BVFED.</w:t>
      </w:r>
    </w:p>
    <w:p w:rsidR="00D770FE" w:rsidRDefault="00D770FE" w:rsidP="00EB01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0FE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D770FE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/>
          <w:sz w:val="24"/>
          <w:szCs w:val="24"/>
        </w:rPr>
        <w:t>ngân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tbl>
      <w:tblPr>
        <w:tblW w:w="945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37"/>
        <w:gridCol w:w="1554"/>
        <w:gridCol w:w="1925"/>
        <w:gridCol w:w="5434"/>
      </w:tblGrid>
      <w:tr w:rsidR="00D770FE" w:rsidRPr="00587E92" w:rsidTr="00D04D40">
        <w:trPr>
          <w:trHeight w:val="493"/>
        </w:trPr>
        <w:tc>
          <w:tcPr>
            <w:tcW w:w="537" w:type="dxa"/>
            <w:shd w:val="clear" w:color="auto" w:fill="4F81BD"/>
            <w:vAlign w:val="center"/>
          </w:tcPr>
          <w:p w:rsidR="00D770FE" w:rsidRPr="00587E92" w:rsidRDefault="00D770FE" w:rsidP="00D04D40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pt-BR"/>
              </w:rPr>
              <w:t>TT</w:t>
            </w:r>
          </w:p>
        </w:tc>
        <w:tc>
          <w:tcPr>
            <w:tcW w:w="1554" w:type="dxa"/>
            <w:shd w:val="clear" w:color="auto" w:fill="4F81BD"/>
            <w:vAlign w:val="center"/>
          </w:tcPr>
          <w:p w:rsidR="00D770FE" w:rsidRPr="00587E92" w:rsidRDefault="00D770FE" w:rsidP="00D04D40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pt-BR"/>
              </w:rPr>
              <w:t>Chi phí</w:t>
            </w:r>
          </w:p>
        </w:tc>
        <w:tc>
          <w:tcPr>
            <w:tcW w:w="1925" w:type="dxa"/>
            <w:shd w:val="clear" w:color="auto" w:fill="4F81BD"/>
            <w:vAlign w:val="center"/>
          </w:tcPr>
          <w:p w:rsidR="00D770FE" w:rsidRPr="00587E92" w:rsidRDefault="00D770FE" w:rsidP="00D04D40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pt-BR"/>
              </w:rPr>
              <w:t>Ngân sách</w:t>
            </w:r>
          </w:p>
        </w:tc>
        <w:tc>
          <w:tcPr>
            <w:tcW w:w="5434" w:type="dxa"/>
            <w:shd w:val="clear" w:color="auto" w:fill="4F81BD"/>
            <w:vAlign w:val="center"/>
          </w:tcPr>
          <w:p w:rsidR="00D770FE" w:rsidRPr="00587E92" w:rsidRDefault="00D770FE" w:rsidP="00D04D40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pt-BR"/>
              </w:rPr>
              <w:t>Ghi chú</w:t>
            </w:r>
          </w:p>
        </w:tc>
      </w:tr>
      <w:tr w:rsidR="00D770FE" w:rsidRPr="00587E92" w:rsidTr="00D04D40">
        <w:trPr>
          <w:trHeight w:val="1131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70FE" w:rsidRPr="00587E92" w:rsidRDefault="00D770FE" w:rsidP="00D04D40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70FE" w:rsidRPr="00587E92" w:rsidRDefault="00D770FE" w:rsidP="00D04D40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Thù lao</w:t>
            </w:r>
          </w:p>
        </w:tc>
        <w:tc>
          <w:tcPr>
            <w:tcW w:w="192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70FE" w:rsidRPr="00587E92" w:rsidRDefault="00D770FE" w:rsidP="00D04D40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84.000.000</w:t>
            </w:r>
          </w:p>
        </w:tc>
        <w:tc>
          <w:tcPr>
            <w:tcW w:w="54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70FE" w:rsidRPr="00587E92" w:rsidRDefault="00D770FE" w:rsidP="00D04D40">
            <w:pPr>
              <w:spacing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Ban Đại diện Quỹ dự kiến có 03 thành viên với mức thù lao: Chủ tịch Ban đại diện 3 triệu đồng/ tháng; thành viên Ban đại diện 2 triệu đồng/tháng </w:t>
            </w:r>
          </w:p>
        </w:tc>
      </w:tr>
      <w:tr w:rsidR="00D770FE" w:rsidRPr="00587E92" w:rsidTr="00D04D40">
        <w:trPr>
          <w:trHeight w:val="1160"/>
        </w:trPr>
        <w:tc>
          <w:tcPr>
            <w:tcW w:w="537" w:type="dxa"/>
            <w:shd w:val="clear" w:color="auto" w:fill="auto"/>
            <w:vAlign w:val="center"/>
          </w:tcPr>
          <w:p w:rsidR="00D770FE" w:rsidRPr="00587E92" w:rsidRDefault="00D770FE" w:rsidP="00D04D40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770FE" w:rsidRPr="00587E92" w:rsidRDefault="00D770FE" w:rsidP="00D04D40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Chi phí hoạt động khác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770FE" w:rsidRPr="00587E92" w:rsidRDefault="00D770FE" w:rsidP="00D04D40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10.000.000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D770FE" w:rsidRPr="00587E92" w:rsidRDefault="00D770FE" w:rsidP="00D04D40">
            <w:pPr>
              <w:spacing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Dự kiến tổ chức họp định kỳ các quý II, III, IV/2016</w:t>
            </w:r>
          </w:p>
          <w:p w:rsidR="00D770FE" w:rsidRPr="00587E92" w:rsidRDefault="00D770FE" w:rsidP="00D04D40">
            <w:pPr>
              <w:spacing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</w:pPr>
            <w:r w:rsidRPr="00587E92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Bao gồm chi phí phòng họp, chuẩn bị tài liệu, đi lại của thành viên Ban Đại diện </w:t>
            </w:r>
            <w:r w:rsidRPr="00587E9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BR"/>
              </w:rPr>
              <w:t>(nếu có)</w:t>
            </w:r>
            <w:r w:rsidRPr="00587E92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:rsidR="00D770FE" w:rsidRPr="00D770FE" w:rsidRDefault="00D770FE" w:rsidP="00EB013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70FE" w:rsidRPr="00D770FE" w:rsidRDefault="00B7489E" w:rsidP="00B7489E">
      <w:pPr>
        <w:tabs>
          <w:tab w:val="left" w:pos="360"/>
        </w:tabs>
        <w:spacing w:before="120"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7489E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B7489E">
        <w:rPr>
          <w:rFonts w:ascii="Times New Roman" w:hAnsi="Times New Roman"/>
          <w:b/>
          <w:sz w:val="24"/>
          <w:szCs w:val="24"/>
        </w:rPr>
        <w:t xml:space="preserve"> </w:t>
      </w:r>
      <w:r w:rsidR="00D770FE">
        <w:rPr>
          <w:rFonts w:ascii="Times New Roman" w:hAnsi="Times New Roman"/>
          <w:b/>
          <w:sz w:val="24"/>
          <w:szCs w:val="24"/>
        </w:rPr>
        <w:t>4</w:t>
      </w:r>
      <w:r w:rsidRPr="00B7489E">
        <w:rPr>
          <w:rFonts w:ascii="Times New Roman" w:hAnsi="Times New Roman"/>
          <w:b/>
          <w:sz w:val="24"/>
          <w:szCs w:val="24"/>
        </w:rPr>
        <w:t xml:space="preserve">: </w:t>
      </w:r>
      <w:r w:rsidR="00D77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qua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sửa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đổi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34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trong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lệ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sz w:val="24"/>
          <w:szCs w:val="24"/>
        </w:rPr>
        <w:t>Quỹ</w:t>
      </w:r>
      <w:proofErr w:type="spellEnd"/>
      <w:r w:rsidR="00D770FE">
        <w:rPr>
          <w:rFonts w:ascii="Times New Roman" w:hAnsi="Times New Roman"/>
          <w:b/>
          <w:sz w:val="24"/>
          <w:szCs w:val="24"/>
        </w:rPr>
        <w:t xml:space="preserve"> BVFED (</w:t>
      </w:r>
      <w:proofErr w:type="spellStart"/>
      <w:r w:rsidR="00D770FE">
        <w:rPr>
          <w:rFonts w:ascii="Times New Roman" w:hAnsi="Times New Roman"/>
          <w:b/>
          <w:i/>
          <w:sz w:val="24"/>
          <w:szCs w:val="24"/>
        </w:rPr>
        <w:t>nội</w:t>
      </w:r>
      <w:proofErr w:type="spellEnd"/>
      <w:r w:rsidR="00D770FE">
        <w:rPr>
          <w:rFonts w:ascii="Times New Roman" w:hAnsi="Times New Roman"/>
          <w:b/>
          <w:i/>
          <w:sz w:val="24"/>
          <w:szCs w:val="24"/>
        </w:rPr>
        <w:t xml:space="preserve"> dung chi </w:t>
      </w:r>
      <w:proofErr w:type="spellStart"/>
      <w:r w:rsidR="00D770FE">
        <w:rPr>
          <w:rFonts w:ascii="Times New Roman" w:hAnsi="Times New Roman"/>
          <w:b/>
          <w:i/>
          <w:sz w:val="24"/>
          <w:szCs w:val="24"/>
        </w:rPr>
        <w:t>tiết</w:t>
      </w:r>
      <w:proofErr w:type="spellEnd"/>
      <w:r w:rsidR="00D770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i/>
          <w:sz w:val="24"/>
          <w:szCs w:val="24"/>
        </w:rPr>
        <w:t>tại</w:t>
      </w:r>
      <w:proofErr w:type="spellEnd"/>
      <w:r w:rsidR="00D770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i/>
          <w:sz w:val="24"/>
          <w:szCs w:val="24"/>
        </w:rPr>
        <w:t>phụ</w:t>
      </w:r>
      <w:proofErr w:type="spellEnd"/>
      <w:r w:rsidR="00D770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i/>
          <w:sz w:val="24"/>
          <w:szCs w:val="24"/>
        </w:rPr>
        <w:t>lục</w:t>
      </w:r>
      <w:proofErr w:type="spellEnd"/>
      <w:r w:rsidR="00D770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i/>
          <w:sz w:val="24"/>
          <w:szCs w:val="24"/>
        </w:rPr>
        <w:t>đính</w:t>
      </w:r>
      <w:proofErr w:type="spellEnd"/>
      <w:r w:rsidR="00D770F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b/>
          <w:i/>
          <w:sz w:val="24"/>
          <w:szCs w:val="24"/>
        </w:rPr>
        <w:t>kèm</w:t>
      </w:r>
      <w:proofErr w:type="spellEnd"/>
      <w:r w:rsidR="00D770FE">
        <w:rPr>
          <w:rFonts w:ascii="Times New Roman" w:hAnsi="Times New Roman"/>
          <w:b/>
          <w:i/>
          <w:sz w:val="24"/>
          <w:szCs w:val="24"/>
        </w:rPr>
        <w:t>)</w:t>
      </w:r>
    </w:p>
    <w:p w:rsidR="00D770FE" w:rsidRDefault="00D770FE" w:rsidP="00B7489E">
      <w:pPr>
        <w:tabs>
          <w:tab w:val="left" w:pos="360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Điều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5: </w:t>
      </w:r>
      <w:proofErr w:type="spellStart"/>
      <w:r>
        <w:rPr>
          <w:rFonts w:ascii="Times New Roman" w:hAnsi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qua </w:t>
      </w:r>
      <w:proofErr w:type="spellStart"/>
      <w:r>
        <w:rPr>
          <w:rFonts w:ascii="Times New Roman" w:hAnsi="Times New Roman"/>
          <w:b/>
          <w:sz w:val="24"/>
          <w:szCs w:val="24"/>
        </w:rPr>
        <w:t>việc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lựa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chọn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ty TNHH Ernst &amp; Young </w:t>
      </w:r>
      <w:proofErr w:type="spellStart"/>
      <w:r>
        <w:rPr>
          <w:rFonts w:ascii="Times New Roman" w:hAnsi="Times New Roman"/>
          <w:b/>
          <w:sz w:val="24"/>
          <w:szCs w:val="24"/>
        </w:rPr>
        <w:t>là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báo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cáo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tài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chính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Quỹ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BVFED </w:t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2016.</w:t>
      </w:r>
    </w:p>
    <w:p w:rsidR="00B7489E" w:rsidRPr="00B7489E" w:rsidRDefault="00D770FE" w:rsidP="00B7489E">
      <w:pPr>
        <w:tabs>
          <w:tab w:val="left" w:pos="360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Điều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6: </w:t>
      </w:r>
      <w:proofErr w:type="spellStart"/>
      <w:r w:rsidR="00B7489E" w:rsidRPr="00B7489E">
        <w:rPr>
          <w:rFonts w:ascii="Times New Roman" w:hAnsi="Times New Roman"/>
          <w:b/>
          <w:sz w:val="24"/>
          <w:szCs w:val="24"/>
        </w:rPr>
        <w:t>Hiệu</w:t>
      </w:r>
      <w:proofErr w:type="spellEnd"/>
      <w:r w:rsidR="00B7489E" w:rsidRPr="00B74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489E" w:rsidRPr="00B7489E">
        <w:rPr>
          <w:rFonts w:ascii="Times New Roman" w:hAnsi="Times New Roman"/>
          <w:b/>
          <w:sz w:val="24"/>
          <w:szCs w:val="24"/>
        </w:rPr>
        <w:t>lực</w:t>
      </w:r>
      <w:proofErr w:type="spellEnd"/>
      <w:r w:rsidR="00B7489E" w:rsidRPr="00B74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489E" w:rsidRPr="00B7489E">
        <w:rPr>
          <w:rFonts w:ascii="Times New Roman" w:hAnsi="Times New Roman"/>
          <w:b/>
          <w:sz w:val="24"/>
          <w:szCs w:val="24"/>
        </w:rPr>
        <w:t>nghị</w:t>
      </w:r>
      <w:proofErr w:type="spellEnd"/>
      <w:r w:rsidR="00B7489E" w:rsidRPr="00B74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489E" w:rsidRPr="00B7489E">
        <w:rPr>
          <w:rFonts w:ascii="Times New Roman" w:hAnsi="Times New Roman"/>
          <w:b/>
          <w:sz w:val="24"/>
          <w:szCs w:val="24"/>
        </w:rPr>
        <w:t>quyết</w:t>
      </w:r>
      <w:proofErr w:type="spellEnd"/>
      <w:r w:rsidR="00B7489E" w:rsidRPr="00B74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489E" w:rsidRPr="00B7489E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="00B7489E" w:rsidRPr="00B74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489E" w:rsidRPr="00B7489E">
        <w:rPr>
          <w:rFonts w:ascii="Times New Roman" w:hAnsi="Times New Roman"/>
          <w:b/>
          <w:sz w:val="24"/>
          <w:szCs w:val="24"/>
        </w:rPr>
        <w:t>hội</w:t>
      </w:r>
      <w:proofErr w:type="spellEnd"/>
    </w:p>
    <w:p w:rsidR="003C40B2" w:rsidRDefault="004F4B48" w:rsidP="00B7489E">
      <w:pPr>
        <w:tabs>
          <w:tab w:val="left" w:pos="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4B48">
        <w:rPr>
          <w:rFonts w:ascii="Times New Roman" w:hAnsi="Times New Roman"/>
          <w:sz w:val="24"/>
          <w:szCs w:val="24"/>
        </w:rPr>
        <w:t>Nghị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quyết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này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gồ</w:t>
      </w:r>
      <w:r w:rsidR="00442364">
        <w:rPr>
          <w:rFonts w:ascii="Times New Roman" w:hAnsi="Times New Roman"/>
          <w:sz w:val="24"/>
          <w:szCs w:val="24"/>
        </w:rPr>
        <w:t>m</w:t>
      </w:r>
      <w:proofErr w:type="spellEnd"/>
      <w:r w:rsidR="00442364">
        <w:rPr>
          <w:rFonts w:ascii="Times New Roman" w:hAnsi="Times New Roman"/>
          <w:sz w:val="24"/>
          <w:szCs w:val="24"/>
        </w:rPr>
        <w:t xml:space="preserve">    </w:t>
      </w:r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trang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4B48">
        <w:rPr>
          <w:rFonts w:ascii="Times New Roman" w:hAnsi="Times New Roman"/>
          <w:sz w:val="24"/>
          <w:szCs w:val="24"/>
        </w:rPr>
        <w:t>đ</w:t>
      </w:r>
      <w:r w:rsidRPr="004F4B48">
        <w:rPr>
          <w:rFonts w:ascii="Times New Roman" w:hAnsi="Times New Roman" w:hint="eastAsia"/>
          <w:sz w:val="24"/>
          <w:szCs w:val="24"/>
        </w:rPr>
        <w:t>ư</w:t>
      </w:r>
      <w:r w:rsidRPr="004F4B48">
        <w:rPr>
          <w:rFonts w:ascii="Times New Roman" w:hAnsi="Times New Roman"/>
          <w:sz w:val="24"/>
          <w:szCs w:val="24"/>
        </w:rPr>
        <w:t>ợc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lập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và</w:t>
      </w:r>
      <w:proofErr w:type="spellEnd"/>
      <w:r w:rsidR="00563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thông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4F4B48">
        <w:rPr>
          <w:rFonts w:ascii="Times New Roman" w:hAnsi="Times New Roman"/>
          <w:sz w:val="24"/>
          <w:szCs w:val="24"/>
        </w:rPr>
        <w:t>toàn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văn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tại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Đại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B48">
        <w:rPr>
          <w:rFonts w:ascii="Times New Roman" w:hAnsi="Times New Roman"/>
          <w:sz w:val="24"/>
          <w:szCs w:val="24"/>
        </w:rPr>
        <w:t>hội</w:t>
      </w:r>
      <w:proofErr w:type="spellEnd"/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nhà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đầ</w:t>
      </w:r>
      <w:r w:rsidR="00B11EDB">
        <w:rPr>
          <w:rFonts w:ascii="Times New Roman" w:hAnsi="Times New Roman"/>
          <w:sz w:val="24"/>
          <w:szCs w:val="24"/>
        </w:rPr>
        <w:t>u</w:t>
      </w:r>
      <w:proofErr w:type="spellEnd"/>
      <w:r w:rsidR="00B11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EDB">
        <w:rPr>
          <w:rFonts w:ascii="Times New Roman" w:hAnsi="Times New Roman"/>
          <w:sz w:val="24"/>
          <w:szCs w:val="24"/>
        </w:rPr>
        <w:t>tư</w:t>
      </w:r>
      <w:proofErr w:type="spellEnd"/>
      <w:r w:rsidR="00B11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thường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0FE">
        <w:rPr>
          <w:rFonts w:ascii="Times New Roman" w:hAnsi="Times New Roman"/>
          <w:sz w:val="24"/>
          <w:szCs w:val="24"/>
        </w:rPr>
        <w:t>niên</w:t>
      </w:r>
      <w:proofErr w:type="spellEnd"/>
      <w:r w:rsidR="00D77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EDB">
        <w:rPr>
          <w:rFonts w:ascii="Times New Roman" w:hAnsi="Times New Roman"/>
          <w:sz w:val="24"/>
          <w:szCs w:val="24"/>
        </w:rPr>
        <w:t>năm</w:t>
      </w:r>
      <w:proofErr w:type="spellEnd"/>
      <w:r w:rsidR="00B11EDB">
        <w:rPr>
          <w:rFonts w:ascii="Times New Roman" w:hAnsi="Times New Roman"/>
          <w:sz w:val="24"/>
          <w:szCs w:val="24"/>
        </w:rPr>
        <w:t xml:space="preserve"> 201</w:t>
      </w:r>
      <w:r w:rsidR="00D770FE">
        <w:rPr>
          <w:rFonts w:ascii="Times New Roman" w:hAnsi="Times New Roman"/>
          <w:sz w:val="24"/>
          <w:szCs w:val="24"/>
        </w:rPr>
        <w:t>6</w:t>
      </w:r>
      <w:r w:rsidRPr="004F4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của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Quỹ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đầu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tư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cổ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phiếu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năng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động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Bảo</w:t>
      </w:r>
      <w:proofErr w:type="spellEnd"/>
      <w:r w:rsidR="003C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B2">
        <w:rPr>
          <w:rFonts w:ascii="Times New Roman" w:hAnsi="Times New Roman"/>
          <w:sz w:val="24"/>
          <w:szCs w:val="24"/>
        </w:rPr>
        <w:t>Việ</w:t>
      </w:r>
      <w:r w:rsidR="00D770FE">
        <w:rPr>
          <w:rFonts w:ascii="Times New Roman" w:hAnsi="Times New Roman"/>
          <w:sz w:val="24"/>
          <w:szCs w:val="24"/>
        </w:rPr>
        <w:t>t</w:t>
      </w:r>
      <w:proofErr w:type="spellEnd"/>
      <w:r w:rsidR="00D770FE">
        <w:rPr>
          <w:rFonts w:ascii="Times New Roman" w:hAnsi="Times New Roman"/>
          <w:sz w:val="24"/>
          <w:szCs w:val="24"/>
        </w:rPr>
        <w:t>.</w:t>
      </w:r>
      <w:proofErr w:type="gram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A4100">
        <w:rPr>
          <w:rFonts w:ascii="Times New Roman" w:hAnsi="Times New Roman"/>
          <w:sz w:val="24"/>
          <w:szCs w:val="24"/>
        </w:rPr>
        <w:t>Các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nhà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đầu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tư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tham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dự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đại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hội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không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có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="008A4100">
        <w:rPr>
          <w:rFonts w:ascii="Times New Roman" w:hAnsi="Times New Roman"/>
          <w:sz w:val="24"/>
          <w:szCs w:val="24"/>
        </w:rPr>
        <w:t>kiến</w:t>
      </w:r>
      <w:proofErr w:type="spellEnd"/>
      <w:r w:rsidR="008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100">
        <w:rPr>
          <w:rFonts w:ascii="Times New Roman" w:hAnsi="Times New Roman"/>
          <w:sz w:val="24"/>
          <w:szCs w:val="24"/>
        </w:rPr>
        <w:t>khác</w:t>
      </w:r>
      <w:proofErr w:type="spellEnd"/>
      <w:r w:rsidRPr="004F4B48">
        <w:rPr>
          <w:rFonts w:ascii="Times New Roman" w:hAnsi="Times New Roman"/>
          <w:sz w:val="24"/>
          <w:szCs w:val="24"/>
        </w:rPr>
        <w:t>.</w:t>
      </w:r>
      <w:proofErr w:type="gramEnd"/>
    </w:p>
    <w:p w:rsidR="00B7489E" w:rsidRPr="00B7489E" w:rsidRDefault="00B7489E" w:rsidP="00B7489E">
      <w:pPr>
        <w:tabs>
          <w:tab w:val="left" w:pos="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Nghị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0" w:type="auto"/>
        <w:tblLook w:val="04A0"/>
      </w:tblPr>
      <w:tblGrid>
        <w:gridCol w:w="4788"/>
        <w:gridCol w:w="4788"/>
      </w:tblGrid>
      <w:tr w:rsidR="00B7489E" w:rsidRPr="00587E92" w:rsidTr="00587E92">
        <w:tc>
          <w:tcPr>
            <w:tcW w:w="4788" w:type="dxa"/>
            <w:shd w:val="clear" w:color="auto" w:fill="auto"/>
          </w:tcPr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Thay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mặt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đại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hội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đầu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</w:p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tịch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Ban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đại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diện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Đại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diện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ty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Quản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quỹ</w:t>
            </w:r>
            <w:proofErr w:type="spellEnd"/>
          </w:p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Giám</w:t>
            </w:r>
            <w:proofErr w:type="spellEnd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sz w:val="24"/>
                <w:szCs w:val="24"/>
              </w:rPr>
              <w:t>đốc</w:t>
            </w:r>
            <w:proofErr w:type="spellEnd"/>
          </w:p>
        </w:tc>
      </w:tr>
      <w:tr w:rsidR="00B7489E" w:rsidRPr="00587E92" w:rsidTr="00587E92">
        <w:tc>
          <w:tcPr>
            <w:tcW w:w="4788" w:type="dxa"/>
            <w:shd w:val="clear" w:color="auto" w:fill="auto"/>
          </w:tcPr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7E92">
              <w:rPr>
                <w:rFonts w:ascii="Times New Roman" w:hAnsi="Times New Roman"/>
                <w:b/>
                <w:i/>
                <w:sz w:val="24"/>
                <w:szCs w:val="24"/>
              </w:rPr>
              <w:t>Nguyễn</w:t>
            </w:r>
            <w:proofErr w:type="spellEnd"/>
            <w:r w:rsidRPr="00587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i/>
                <w:sz w:val="24"/>
                <w:szCs w:val="24"/>
              </w:rPr>
              <w:t>Anh</w:t>
            </w:r>
            <w:proofErr w:type="spellEnd"/>
            <w:r w:rsidRPr="00587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7E92">
              <w:rPr>
                <w:rFonts w:ascii="Times New Roman" w:hAnsi="Times New Roman"/>
                <w:b/>
                <w:i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489E" w:rsidRPr="00587E92" w:rsidRDefault="00B7489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489E" w:rsidRPr="00587E92" w:rsidRDefault="00D770FE" w:rsidP="00587E92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7E92">
              <w:rPr>
                <w:rFonts w:ascii="Times New Roman" w:hAnsi="Times New Roman"/>
                <w:b/>
                <w:i/>
                <w:sz w:val="24"/>
                <w:szCs w:val="24"/>
              </w:rPr>
              <w:t>Đậu</w:t>
            </w:r>
            <w:proofErr w:type="spellEnd"/>
            <w:r w:rsidRPr="00587E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Minh </w:t>
            </w:r>
            <w:proofErr w:type="spellStart"/>
            <w:r w:rsidRPr="00587E92">
              <w:rPr>
                <w:rFonts w:ascii="Times New Roman" w:hAnsi="Times New Roman"/>
                <w:b/>
                <w:i/>
                <w:sz w:val="24"/>
                <w:szCs w:val="24"/>
              </w:rPr>
              <w:t>Lâm</w:t>
            </w:r>
            <w:proofErr w:type="spellEnd"/>
          </w:p>
        </w:tc>
      </w:tr>
    </w:tbl>
    <w:p w:rsidR="00F7524F" w:rsidRPr="00B7489E" w:rsidRDefault="00F7524F" w:rsidP="00B7489E">
      <w:pPr>
        <w:tabs>
          <w:tab w:val="left" w:pos="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524F" w:rsidRDefault="00F7524F" w:rsidP="00F7524F">
      <w:pPr>
        <w:pStyle w:val="ListParagraph"/>
        <w:tabs>
          <w:tab w:val="left" w:pos="360"/>
        </w:tabs>
        <w:spacing w:before="120" w:after="12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7524F" w:rsidRPr="00947B7C" w:rsidRDefault="00F7524F" w:rsidP="00F7524F">
      <w:pPr>
        <w:pStyle w:val="ListParagraph"/>
        <w:tabs>
          <w:tab w:val="left" w:pos="360"/>
        </w:tabs>
        <w:spacing w:before="120" w:after="12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C785C" w:rsidRPr="00947B7C" w:rsidRDefault="00EC785C" w:rsidP="006A5B2F">
      <w:pPr>
        <w:tabs>
          <w:tab w:val="left" w:pos="360"/>
        </w:tabs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6497" w:rsidRPr="00947B7C" w:rsidRDefault="00386497" w:rsidP="006A5B2F">
      <w:pPr>
        <w:tabs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2384" w:rsidRPr="00947B7C" w:rsidRDefault="00092384" w:rsidP="006A5B2F">
      <w:pPr>
        <w:pStyle w:val="ListParagraph"/>
        <w:spacing w:before="120" w:after="12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7489" w:rsidRPr="00947B7C" w:rsidRDefault="009E7489" w:rsidP="006A5B2F">
      <w:pPr>
        <w:pStyle w:val="ListParagraph"/>
        <w:tabs>
          <w:tab w:val="left" w:pos="3161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6E73" w:rsidRPr="00947B7C" w:rsidRDefault="00176E73" w:rsidP="006A5B2F">
      <w:pPr>
        <w:tabs>
          <w:tab w:val="left" w:pos="3161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3066" w:rsidRPr="00947B7C" w:rsidRDefault="00963066" w:rsidP="006A5B2F">
      <w:pPr>
        <w:tabs>
          <w:tab w:val="left" w:pos="3161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63066" w:rsidRPr="00947B7C" w:rsidSect="00705F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40" w:rsidRDefault="00D04D40" w:rsidP="003513F6">
      <w:pPr>
        <w:spacing w:after="0" w:line="240" w:lineRule="auto"/>
      </w:pPr>
      <w:r>
        <w:separator/>
      </w:r>
    </w:p>
  </w:endnote>
  <w:endnote w:type="continuationSeparator" w:id="1">
    <w:p w:rsidR="00D04D40" w:rsidRDefault="00D04D40" w:rsidP="0035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F6" w:rsidRDefault="00731796">
    <w:pPr>
      <w:pStyle w:val="Footer"/>
      <w:jc w:val="right"/>
    </w:pPr>
    <w:fldSimple w:instr=" PAGE   \* MERGEFORMAT ">
      <w:r w:rsidR="00905DB7">
        <w:rPr>
          <w:noProof/>
        </w:rPr>
        <w:t>1</w:t>
      </w:r>
    </w:fldSimple>
  </w:p>
  <w:p w:rsidR="003513F6" w:rsidRDefault="00351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40" w:rsidRDefault="00D04D40" w:rsidP="003513F6">
      <w:pPr>
        <w:spacing w:after="0" w:line="240" w:lineRule="auto"/>
      </w:pPr>
      <w:r>
        <w:separator/>
      </w:r>
    </w:p>
  </w:footnote>
  <w:footnote w:type="continuationSeparator" w:id="1">
    <w:p w:rsidR="00D04D40" w:rsidRDefault="00D04D40" w:rsidP="0035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2D9"/>
    <w:multiLevelType w:val="hybridMultilevel"/>
    <w:tmpl w:val="58A896FC"/>
    <w:lvl w:ilvl="0" w:tplc="6F2C7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4AF"/>
    <w:multiLevelType w:val="hybridMultilevel"/>
    <w:tmpl w:val="5FE40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C0C30"/>
    <w:multiLevelType w:val="hybridMultilevel"/>
    <w:tmpl w:val="979E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336FF"/>
    <w:multiLevelType w:val="hybridMultilevel"/>
    <w:tmpl w:val="428A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07DF"/>
    <w:multiLevelType w:val="hybridMultilevel"/>
    <w:tmpl w:val="275A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5474"/>
    <w:multiLevelType w:val="hybridMultilevel"/>
    <w:tmpl w:val="46B890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9D7733"/>
    <w:multiLevelType w:val="hybridMultilevel"/>
    <w:tmpl w:val="1906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65E1"/>
    <w:multiLevelType w:val="hybridMultilevel"/>
    <w:tmpl w:val="715A0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422E34"/>
    <w:multiLevelType w:val="hybridMultilevel"/>
    <w:tmpl w:val="780E19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823AC5"/>
    <w:multiLevelType w:val="hybridMultilevel"/>
    <w:tmpl w:val="9D0A2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9457F0"/>
    <w:multiLevelType w:val="hybridMultilevel"/>
    <w:tmpl w:val="A2B695EE"/>
    <w:lvl w:ilvl="0" w:tplc="F392BF8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A30AB"/>
    <w:multiLevelType w:val="hybridMultilevel"/>
    <w:tmpl w:val="B1742562"/>
    <w:lvl w:ilvl="0" w:tplc="DFA2F46C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910F5"/>
    <w:multiLevelType w:val="hybridMultilevel"/>
    <w:tmpl w:val="5B043560"/>
    <w:lvl w:ilvl="0" w:tplc="0A3A8CE0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93EA8"/>
    <w:multiLevelType w:val="hybridMultilevel"/>
    <w:tmpl w:val="C8923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25777A"/>
    <w:multiLevelType w:val="hybridMultilevel"/>
    <w:tmpl w:val="C6AC6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867007"/>
    <w:multiLevelType w:val="hybridMultilevel"/>
    <w:tmpl w:val="066E0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D31711"/>
    <w:multiLevelType w:val="hybridMultilevel"/>
    <w:tmpl w:val="4670C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9219CA"/>
    <w:multiLevelType w:val="hybridMultilevel"/>
    <w:tmpl w:val="68FC2DD2"/>
    <w:lvl w:ilvl="0" w:tplc="89086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445A1C"/>
    <w:multiLevelType w:val="hybridMultilevel"/>
    <w:tmpl w:val="6442A4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A3FD4"/>
    <w:multiLevelType w:val="hybridMultilevel"/>
    <w:tmpl w:val="77D8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E2940"/>
    <w:multiLevelType w:val="hybridMultilevel"/>
    <w:tmpl w:val="CE4E10AE"/>
    <w:lvl w:ilvl="0" w:tplc="6B88BE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793894"/>
    <w:multiLevelType w:val="hybridMultilevel"/>
    <w:tmpl w:val="CE4E10AE"/>
    <w:lvl w:ilvl="0" w:tplc="6B88BE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3A7064"/>
    <w:multiLevelType w:val="hybridMultilevel"/>
    <w:tmpl w:val="174C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C47AE"/>
    <w:multiLevelType w:val="hybridMultilevel"/>
    <w:tmpl w:val="673E5254"/>
    <w:lvl w:ilvl="0" w:tplc="DFA2F46C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0"/>
  </w:num>
  <w:num w:numId="13">
    <w:abstractNumId w:val="6"/>
  </w:num>
  <w:num w:numId="14">
    <w:abstractNumId w:val="22"/>
  </w:num>
  <w:num w:numId="15">
    <w:abstractNumId w:val="9"/>
  </w:num>
  <w:num w:numId="16">
    <w:abstractNumId w:val="18"/>
  </w:num>
  <w:num w:numId="17">
    <w:abstractNumId w:val="17"/>
  </w:num>
  <w:num w:numId="18">
    <w:abstractNumId w:val="8"/>
  </w:num>
  <w:num w:numId="19">
    <w:abstractNumId w:val="5"/>
  </w:num>
  <w:num w:numId="20">
    <w:abstractNumId w:val="10"/>
  </w:num>
  <w:num w:numId="21">
    <w:abstractNumId w:val="20"/>
  </w:num>
  <w:num w:numId="22">
    <w:abstractNumId w:val="21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298"/>
    <w:rsid w:val="0003599D"/>
    <w:rsid w:val="0005313C"/>
    <w:rsid w:val="000549FD"/>
    <w:rsid w:val="00092384"/>
    <w:rsid w:val="0009712A"/>
    <w:rsid w:val="000E4372"/>
    <w:rsid w:val="000E561F"/>
    <w:rsid w:val="00106E7E"/>
    <w:rsid w:val="00125F60"/>
    <w:rsid w:val="0013128A"/>
    <w:rsid w:val="00134298"/>
    <w:rsid w:val="001525BC"/>
    <w:rsid w:val="00160A52"/>
    <w:rsid w:val="00162762"/>
    <w:rsid w:val="00176E73"/>
    <w:rsid w:val="001834C4"/>
    <w:rsid w:val="001A4BF5"/>
    <w:rsid w:val="001A6507"/>
    <w:rsid w:val="001D5EA2"/>
    <w:rsid w:val="00201100"/>
    <w:rsid w:val="00244BCA"/>
    <w:rsid w:val="00252823"/>
    <w:rsid w:val="002E1D42"/>
    <w:rsid w:val="003009BB"/>
    <w:rsid w:val="00321D3B"/>
    <w:rsid w:val="00331C9E"/>
    <w:rsid w:val="0035058E"/>
    <w:rsid w:val="003513F6"/>
    <w:rsid w:val="003775BE"/>
    <w:rsid w:val="00386497"/>
    <w:rsid w:val="003C40B2"/>
    <w:rsid w:val="003C7010"/>
    <w:rsid w:val="003C79BD"/>
    <w:rsid w:val="003E0F61"/>
    <w:rsid w:val="0044171E"/>
    <w:rsid w:val="00442364"/>
    <w:rsid w:val="00497735"/>
    <w:rsid w:val="004A3B1A"/>
    <w:rsid w:val="004F4B48"/>
    <w:rsid w:val="005056F9"/>
    <w:rsid w:val="00561FA0"/>
    <w:rsid w:val="00563B32"/>
    <w:rsid w:val="00587E92"/>
    <w:rsid w:val="00590892"/>
    <w:rsid w:val="005D096C"/>
    <w:rsid w:val="00610686"/>
    <w:rsid w:val="006149AD"/>
    <w:rsid w:val="006862CD"/>
    <w:rsid w:val="00691CBE"/>
    <w:rsid w:val="006A5B2F"/>
    <w:rsid w:val="006B6E66"/>
    <w:rsid w:val="006B7B33"/>
    <w:rsid w:val="006E6958"/>
    <w:rsid w:val="00705FD6"/>
    <w:rsid w:val="00716675"/>
    <w:rsid w:val="00724370"/>
    <w:rsid w:val="00731796"/>
    <w:rsid w:val="0073383B"/>
    <w:rsid w:val="007841E1"/>
    <w:rsid w:val="007C5E8A"/>
    <w:rsid w:val="007D774C"/>
    <w:rsid w:val="007E5283"/>
    <w:rsid w:val="007E781C"/>
    <w:rsid w:val="0080267D"/>
    <w:rsid w:val="00881E26"/>
    <w:rsid w:val="008A4100"/>
    <w:rsid w:val="008E7A38"/>
    <w:rsid w:val="00905DB7"/>
    <w:rsid w:val="009435CA"/>
    <w:rsid w:val="009437C1"/>
    <w:rsid w:val="00947B7C"/>
    <w:rsid w:val="00963066"/>
    <w:rsid w:val="0097466C"/>
    <w:rsid w:val="009912F8"/>
    <w:rsid w:val="009A5300"/>
    <w:rsid w:val="009E7489"/>
    <w:rsid w:val="00A36D20"/>
    <w:rsid w:val="00A429DD"/>
    <w:rsid w:val="00A85DE6"/>
    <w:rsid w:val="00AC1464"/>
    <w:rsid w:val="00AE3F02"/>
    <w:rsid w:val="00AE5376"/>
    <w:rsid w:val="00B11EDB"/>
    <w:rsid w:val="00B2104B"/>
    <w:rsid w:val="00B657F1"/>
    <w:rsid w:val="00B7489E"/>
    <w:rsid w:val="00B822BB"/>
    <w:rsid w:val="00BC797B"/>
    <w:rsid w:val="00C06D2C"/>
    <w:rsid w:val="00C130F1"/>
    <w:rsid w:val="00C5704C"/>
    <w:rsid w:val="00C74859"/>
    <w:rsid w:val="00CC1CDA"/>
    <w:rsid w:val="00CE64A5"/>
    <w:rsid w:val="00D04D40"/>
    <w:rsid w:val="00D268CE"/>
    <w:rsid w:val="00D41A2A"/>
    <w:rsid w:val="00D444A7"/>
    <w:rsid w:val="00D62610"/>
    <w:rsid w:val="00D651A4"/>
    <w:rsid w:val="00D7423B"/>
    <w:rsid w:val="00D770FE"/>
    <w:rsid w:val="00D83A3B"/>
    <w:rsid w:val="00DA306C"/>
    <w:rsid w:val="00DC3B18"/>
    <w:rsid w:val="00DC636B"/>
    <w:rsid w:val="00DF7805"/>
    <w:rsid w:val="00E40F76"/>
    <w:rsid w:val="00E50A70"/>
    <w:rsid w:val="00E549AA"/>
    <w:rsid w:val="00E82C60"/>
    <w:rsid w:val="00EB0136"/>
    <w:rsid w:val="00EC785C"/>
    <w:rsid w:val="00EF6C80"/>
    <w:rsid w:val="00F11C85"/>
    <w:rsid w:val="00F2387C"/>
    <w:rsid w:val="00F24D85"/>
    <w:rsid w:val="00F33718"/>
    <w:rsid w:val="00F7308D"/>
    <w:rsid w:val="00F7503D"/>
    <w:rsid w:val="00F7524F"/>
    <w:rsid w:val="00F81A06"/>
    <w:rsid w:val="00F9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F02"/>
    <w:pPr>
      <w:ind w:left="720"/>
      <w:contextualSpacing/>
    </w:pPr>
  </w:style>
  <w:style w:type="character" w:styleId="Hyperlink">
    <w:name w:val="Hyperlink"/>
    <w:uiPriority w:val="99"/>
    <w:unhideWhenUsed/>
    <w:rsid w:val="00963066"/>
    <w:rPr>
      <w:color w:val="0000FF"/>
      <w:u w:val="single"/>
    </w:rPr>
  </w:style>
  <w:style w:type="table" w:customStyle="1" w:styleId="LightGrid-Accent11">
    <w:name w:val="Light Grid - Accent 11"/>
    <w:basedOn w:val="TableNormal"/>
    <w:uiPriority w:val="62"/>
    <w:rsid w:val="00D626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yriad Pro SemiExt" w:eastAsia="Times New Roman" w:hAnsi="Myriad Pro Semi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yriad Pro SemiExt" w:eastAsia="Times New Roman" w:hAnsi="Myriad Pro Semi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yriad Pro SemiExt" w:eastAsia="Times New Roman" w:hAnsi="Myriad Pro SemiExt" w:cs="Times New Roman"/>
        <w:b/>
        <w:bCs/>
      </w:rPr>
    </w:tblStylePr>
    <w:tblStylePr w:type="lastCol">
      <w:rPr>
        <w:rFonts w:ascii="Myriad Pro SemiExt" w:eastAsia="Times New Roman" w:hAnsi="Myriad Pro Semi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6261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5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3F6"/>
  </w:style>
  <w:style w:type="paragraph" w:styleId="Footer">
    <w:name w:val="footer"/>
    <w:basedOn w:val="Normal"/>
    <w:link w:val="FooterChar"/>
    <w:uiPriority w:val="99"/>
    <w:unhideWhenUsed/>
    <w:rsid w:val="0035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F6"/>
  </w:style>
  <w:style w:type="character" w:styleId="CommentReference">
    <w:name w:val="annotation reference"/>
    <w:uiPriority w:val="99"/>
    <w:semiHidden/>
    <w:unhideWhenUsed/>
    <w:rsid w:val="001A4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4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4B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AFB7-87D4-4DC1-8399-6E83698F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BVF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DinhHongDuong</dc:creator>
  <cp:lastModifiedBy>dinhhongduong</cp:lastModifiedBy>
  <cp:revision>3</cp:revision>
  <cp:lastPrinted>2014-02-11T09:58:00Z</cp:lastPrinted>
  <dcterms:created xsi:type="dcterms:W3CDTF">2016-04-22T08:30:00Z</dcterms:created>
  <dcterms:modified xsi:type="dcterms:W3CDTF">2016-05-16T04:18:00Z</dcterms:modified>
</cp:coreProperties>
</file>